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lef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31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tabs>
          <w:tab w:val="left" w:pos="5670" w:leader="none"/>
        </w:tabs>
        <w:rPr>
          <w:b/>
          <w:szCs w:val="28"/>
        </w:rPr>
      </w:pPr>
      <w:r>
        <w:rPr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распоряжению правительства от 21.02.2023 №79-рп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3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распоряжению правительства от 21.02.2023 №79-рп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          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изменение: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68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6 </w:t>
      </w:r>
      <w:r>
        <w:t xml:space="preserve">слова «Птичнинское городское поселение» заменить словами «Птичнинское сельское поселение».</w:t>
      </w:r>
      <w:r/>
    </w:p>
    <w:p>
      <w:pPr>
        <w:ind w:firstLine="720"/>
        <w:jc w:val="both"/>
        <w:tabs>
          <w:tab w:val="left" w:pos="5670" w:leader="none"/>
        </w:tabs>
      </w:pPr>
      <w:r>
        <w:rPr>
          <w:szCs w:val="28"/>
        </w:rPr>
      </w:r>
      <w:r>
        <w:rPr>
          <w:szCs w:val="28"/>
        </w:rPr>
        <w:t xml:space="preserve">2. </w:t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both"/>
        <w:rPr>
          <w:szCs w:val="20"/>
        </w:rPr>
      </w:pPr>
      <w:r>
        <w:rPr>
          <w:szCs w:val="20"/>
        </w:rPr>
        <w:t xml:space="preserve">Губнатор области                                                                        </w:t>
      </w:r>
      <w:r>
        <w:rPr>
          <w:szCs w:val="20"/>
        </w:rPr>
        <w:t xml:space="preserve"> Р.Э. Гольдштейн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rPr>
          <w:szCs w:val="28"/>
        </w:rPr>
      </w:pPr>
      <w:r>
        <w:rPr>
          <w:szCs w:val="28"/>
        </w:rPr>
        <w:br w:type="page" w:clear="all"/>
      </w:r>
      <w:r/>
    </w:p>
    <w:p>
      <w:pPr>
        <w:contextualSpacing w:val="0"/>
        <w:ind w:left="5387"/>
        <w:jc w:val="both"/>
        <w:spacing w:before="0" w:beforeAutospacing="0" w:after="0" w:afterAutospacing="0"/>
        <w:rPr>
          <w:highlight w:val="none"/>
        </w:rPr>
        <w:outlineLvl w:val="0"/>
      </w:pPr>
      <w:r>
        <w:rPr>
          <w:szCs w:val="28"/>
        </w:rPr>
        <w:t xml:space="preserve">Приложение</w:t>
      </w:r>
      <w:r>
        <w:rPr>
          <w:highlight w:val="none"/>
        </w:rPr>
      </w:r>
      <w:r/>
    </w:p>
    <w:p>
      <w:pPr>
        <w:contextualSpacing w:val="0"/>
        <w:ind w:left="5387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к распоряжению</w:t>
      </w:r>
      <w:r>
        <w:rPr>
          <w:szCs w:val="28"/>
        </w:rPr>
        <w:t xml:space="preserve"> правительства</w:t>
      </w:r>
      <w:r/>
    </w:p>
    <w:p>
      <w:pPr>
        <w:ind w:left="5387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Еврейской автономной области</w:t>
      </w:r>
      <w:r/>
    </w:p>
    <w:p>
      <w:pPr>
        <w:ind w:left="5387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от _________________ № ____</w:t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ind w:left="5400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left="5400"/>
        <w:jc w:val="both"/>
      </w:pPr>
      <w:r>
        <w:rPr>
          <w:szCs w:val="28"/>
        </w:rPr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 xml:space="preserve">Распределение</w:t>
      </w:r>
      <w:r/>
    </w:p>
    <w:p>
      <w:pPr>
        <w:jc w:val="center"/>
        <w:tabs>
          <w:tab w:val="left" w:pos="9356" w:leader="none"/>
        </w:tabs>
        <w:rPr>
          <w:szCs w:val="28"/>
        </w:rPr>
        <w:outlineLvl w:val="0"/>
      </w:pPr>
      <w:r>
        <w:rPr>
          <w:szCs w:val="28"/>
        </w:rPr>
        <w:t xml:space="preserve">в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году</w:t>
      </w:r>
      <w:r>
        <w:rPr>
          <w:szCs w:val="28"/>
        </w:rPr>
        <w:t xml:space="preserve"> субсидий за счет средств федерального и областного бюджетов</w:t>
      </w:r>
      <w:r>
        <w:rPr>
          <w:szCs w:val="28"/>
        </w:rPr>
        <w:t xml:space="preserve"> бюджетам муниципальных образований Еврейской автономной области  на обеспечение развития и укрепления материально-технической ба</w:t>
      </w:r>
      <w:r>
        <w:rPr>
          <w:szCs w:val="28"/>
        </w:rPr>
        <w:t xml:space="preserve">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/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/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/>
          </w:p>
        </w:tc>
      </w:tr>
      <w:tr>
        <w:trPr>
          <w:trHeight w:val="649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«Полевское сельское поселение»</w:t>
            </w:r>
            <w:r>
              <w:rPr>
                <w:color w:val="000000"/>
                <w:lang w:eastAsia="en-US"/>
              </w:rPr>
            </w:r>
            <w:r/>
          </w:p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Октябрьского муниципального района Еврейской автономной области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778 222,22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2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«Ленинский муниципальный район» Еврейской автономной области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  <w:lang w:eastAsia="en-US"/>
              </w:rPr>
              <w:t xml:space="preserve">777 744,44</w:t>
            </w:r>
            <w:r>
              <w:rPr>
                <w:color w:val="000000"/>
                <w:szCs w:val="28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«Приамурское городское поселение»</w:t>
            </w:r>
            <w:r>
              <w:rPr>
                <w:color w:val="000000"/>
                <w:lang w:eastAsia="en-US"/>
              </w:rPr>
            </w:r>
            <w:r/>
          </w:p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Смидовичского муниципального района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Еврейской автономной области</w:t>
            </w:r>
            <w:r>
              <w:rPr>
                <w:bCs/>
                <w:color w:val="000000"/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555 555,56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4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«Кульдурское городское поселение»</w:t>
            </w:r>
            <w:r>
              <w:rPr>
                <w:color w:val="000000"/>
                <w:lang w:eastAsia="en-US"/>
              </w:rPr>
            </w:r>
            <w:r/>
          </w:p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Облученского муниципального района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Еврейской автономной области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300 000,00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«Бирское городское поселение»</w:t>
            </w:r>
            <w:r>
              <w:rPr>
                <w:color w:val="000000"/>
                <w:lang w:eastAsia="en-US"/>
              </w:rPr>
            </w:r>
            <w:r/>
          </w:p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  <w:t xml:space="preserve">Облученского муниципального района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Еврейской автономной области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423 333,34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6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«Птичнинское сельское поселение»</w:t>
            </w:r>
            <w:r>
              <w:rPr>
                <w:color w:val="000000"/>
                <w:lang w:eastAsia="en-US"/>
              </w:rPr>
            </w:r>
            <w:r/>
          </w:p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Биробиджанского муниципального района Еврейской автономной области</w:t>
            </w:r>
            <w:r>
              <w:rPr>
                <w:color w:val="000000"/>
                <w:lang w:eastAsia="en-US"/>
              </w:rPr>
            </w:r>
            <w:r/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142 222,22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7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«</w:t>
            </w:r>
            <w:r>
              <w:rPr>
                <w:bCs/>
                <w:color w:val="000000"/>
                <w:szCs w:val="28"/>
                <w:lang w:eastAsia="en-US"/>
              </w:rPr>
              <w:t xml:space="preserve">Биробиджанский муниципальный район»</w:t>
            </w:r>
            <w:r>
              <w:rPr>
                <w:color w:val="000000"/>
                <w:lang w:eastAsia="en-US"/>
              </w:rPr>
            </w:r>
            <w:r/>
          </w:p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Еврейской автономной области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302 222,22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279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300,00</w:t>
            </w:r>
            <w:r>
              <w:rPr>
                <w:color w:val="000000"/>
                <w:szCs w:val="28"/>
              </w:rPr>
            </w:r>
            <w:r/>
          </w:p>
        </w:tc>
      </w:tr>
    </w:tbl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p>
      <w:pPr>
        <w:jc w:val="center"/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/>
    </w:p>
    <w:p>
      <w:pPr>
        <w:ind w:firstLine="720"/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r/>
      <w:r/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247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right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7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7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7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7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7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7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7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7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6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6"/>
    <w:next w:val="826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6"/>
    <w:uiPriority w:val="99"/>
  </w:style>
  <w:style w:type="character" w:styleId="679">
    <w:name w:val="Footer Char"/>
    <w:basedOn w:val="827"/>
    <w:link w:val="834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834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rPr>
      <w:szCs w:val="24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831">
    <w:name w:val="Body Text"/>
    <w:basedOn w:val="826"/>
    <w:link w:val="832"/>
    <w:uiPriority w:val="99"/>
    <w:pPr>
      <w:jc w:val="both"/>
    </w:pPr>
  </w:style>
  <w:style w:type="character" w:styleId="832" w:customStyle="1">
    <w:name w:val="Основной текст Знак"/>
    <w:basedOn w:val="827"/>
    <w:link w:val="831"/>
    <w:uiPriority w:val="99"/>
    <w:rPr>
      <w:rFonts w:eastAsia="Times New Roman" w:cs="Times New Roman"/>
      <w:sz w:val="24"/>
      <w:szCs w:val="24"/>
      <w:lang w:eastAsia="ru-RU"/>
    </w:rPr>
  </w:style>
  <w:style w:type="paragraph" w:styleId="833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34">
    <w:name w:val="Footer"/>
    <w:basedOn w:val="826"/>
    <w:link w:val="835"/>
    <w:uiPriority w:val="99"/>
    <w:pPr>
      <w:tabs>
        <w:tab w:val="center" w:pos="4677" w:leader="none"/>
        <w:tab w:val="right" w:pos="9355" w:leader="none"/>
      </w:tabs>
    </w:pPr>
  </w:style>
  <w:style w:type="character" w:styleId="835" w:customStyle="1">
    <w:name w:val="Нижний колонтитул Знак"/>
    <w:basedOn w:val="827"/>
    <w:link w:val="834"/>
    <w:uiPriority w:val="99"/>
    <w:rPr>
      <w:rFonts w:eastAsia="Times New Roman" w:cs="Times New Roman"/>
      <w:sz w:val="24"/>
      <w:szCs w:val="24"/>
      <w:lang w:eastAsia="ru-RU"/>
    </w:rPr>
  </w:style>
  <w:style w:type="paragraph" w:styleId="836">
    <w:name w:val="Header"/>
    <w:basedOn w:val="82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27"/>
    <w:link w:val="836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25</cp:revision>
  <dcterms:created xsi:type="dcterms:W3CDTF">2022-02-18T05:30:00Z</dcterms:created>
  <dcterms:modified xsi:type="dcterms:W3CDTF">2023-03-01T00:53:08Z</dcterms:modified>
</cp:coreProperties>
</file>